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EDD" w:rsidRPr="00C92F6F" w:rsidRDefault="00060EDD" w:rsidP="00060EDD">
      <w:pPr>
        <w:pStyle w:val="Default"/>
        <w:rPr>
          <w:szCs w:val="23"/>
          <w:lang w:val="en-US"/>
        </w:rPr>
      </w:pPr>
      <w:r w:rsidRPr="00060EDD">
        <w:rPr>
          <w:b/>
          <w:szCs w:val="23"/>
          <w:lang w:val="en-US"/>
        </w:rPr>
        <w:t>Causes and current treatment options</w:t>
      </w:r>
      <w:r w:rsidRPr="00C92F6F">
        <w:rPr>
          <w:szCs w:val="23"/>
          <w:lang w:val="en-US"/>
        </w:rPr>
        <w:t xml:space="preserve"> </w:t>
      </w:r>
      <w:r>
        <w:rPr>
          <w:szCs w:val="23"/>
          <w:lang w:val="en-US"/>
        </w:rPr>
        <w:tab/>
      </w:r>
      <w:r>
        <w:rPr>
          <w:szCs w:val="23"/>
          <w:lang w:val="en-US"/>
        </w:rPr>
        <w:tab/>
      </w:r>
    </w:p>
    <w:p w:rsidR="00060EDD" w:rsidRPr="00042943" w:rsidRDefault="00060EDD" w:rsidP="00060EDD">
      <w:pPr>
        <w:pStyle w:val="Default"/>
        <w:rPr>
          <w:b/>
          <w:szCs w:val="23"/>
          <w:lang w:val="en-US"/>
        </w:rPr>
      </w:pPr>
    </w:p>
    <w:p w:rsidR="00060EDD" w:rsidRPr="00042943" w:rsidRDefault="00060EDD" w:rsidP="00060EDD">
      <w:pPr>
        <w:pStyle w:val="Default"/>
        <w:rPr>
          <w:b/>
          <w:szCs w:val="23"/>
          <w:lang w:val="en-US"/>
        </w:rPr>
      </w:pPr>
    </w:p>
    <w:p w:rsidR="00060EDD" w:rsidRPr="00042943" w:rsidRDefault="00060EDD" w:rsidP="00060EDD">
      <w:pPr>
        <w:pStyle w:val="Default"/>
        <w:rPr>
          <w:b/>
          <w:szCs w:val="23"/>
          <w:lang w:val="en-US"/>
        </w:rPr>
      </w:pPr>
    </w:p>
    <w:p w:rsidR="00060EDD" w:rsidRPr="00060EDD" w:rsidRDefault="00060EDD" w:rsidP="00060EDD">
      <w:pPr>
        <w:pStyle w:val="Default"/>
        <w:jc w:val="right"/>
        <w:rPr>
          <w:szCs w:val="23"/>
        </w:rPr>
      </w:pPr>
      <w:r w:rsidRPr="00060EDD">
        <w:rPr>
          <w:b/>
          <w:szCs w:val="23"/>
        </w:rPr>
        <w:lastRenderedPageBreak/>
        <w:t>Prof. Dr. Hendrik P. N. Scholl</w:t>
      </w:r>
    </w:p>
    <w:p w:rsidR="00060EDD" w:rsidRDefault="00060EDD" w:rsidP="00060EDD">
      <w:pPr>
        <w:pStyle w:val="Default"/>
        <w:jc w:val="right"/>
        <w:rPr>
          <w:szCs w:val="23"/>
          <w:lang w:val="en-US"/>
        </w:rPr>
      </w:pPr>
      <w:r>
        <w:rPr>
          <w:szCs w:val="23"/>
          <w:lang w:val="en-US"/>
        </w:rPr>
        <w:t>Wilmer Eye Institute</w:t>
      </w:r>
    </w:p>
    <w:p w:rsidR="00060EDD" w:rsidRDefault="00060EDD" w:rsidP="00060EDD">
      <w:pPr>
        <w:pStyle w:val="Default"/>
        <w:jc w:val="right"/>
        <w:rPr>
          <w:szCs w:val="23"/>
          <w:lang w:val="en-US"/>
        </w:rPr>
      </w:pPr>
      <w:r>
        <w:rPr>
          <w:szCs w:val="23"/>
          <w:lang w:val="en-US"/>
        </w:rPr>
        <w:t>Johns Hopkins University</w:t>
      </w:r>
    </w:p>
    <w:p w:rsidR="00060EDD" w:rsidRPr="00060EDD" w:rsidRDefault="00060EDD" w:rsidP="00060EDD">
      <w:pPr>
        <w:pStyle w:val="Default"/>
        <w:jc w:val="right"/>
        <w:rPr>
          <w:szCs w:val="23"/>
          <w:lang w:val="en-US"/>
        </w:rPr>
      </w:pPr>
      <w:r w:rsidRPr="00060EDD">
        <w:rPr>
          <w:szCs w:val="23"/>
          <w:lang w:val="en-US"/>
        </w:rPr>
        <w:t>Baltimore, USA</w:t>
      </w:r>
    </w:p>
    <w:p w:rsidR="00060EDD" w:rsidRPr="00060EDD" w:rsidRDefault="00060EDD" w:rsidP="00060EDD">
      <w:pPr>
        <w:pStyle w:val="Default"/>
        <w:rPr>
          <w:b/>
          <w:szCs w:val="23"/>
          <w:lang w:val="en-US"/>
        </w:rPr>
        <w:sectPr w:rsidR="00060EDD" w:rsidRPr="00060EDD" w:rsidSect="00C92F6F">
          <w:pgSz w:w="11907" w:h="16840" w:code="9"/>
          <w:pgMar w:top="1134" w:right="1134" w:bottom="1134" w:left="1134" w:header="709" w:footer="709" w:gutter="0"/>
          <w:cols w:num="2" w:space="708"/>
          <w:docGrid w:linePitch="360"/>
        </w:sectPr>
      </w:pPr>
    </w:p>
    <w:p w:rsidR="00060EDD" w:rsidRPr="00060EDD" w:rsidRDefault="00060EDD" w:rsidP="00060EDD">
      <w:pPr>
        <w:pStyle w:val="Default"/>
        <w:rPr>
          <w:b/>
          <w:szCs w:val="23"/>
          <w:lang w:val="en-US"/>
        </w:rPr>
      </w:pPr>
    </w:p>
    <w:p w:rsidR="00060EDD" w:rsidRPr="00060EDD" w:rsidRDefault="00060EDD" w:rsidP="00060EDD">
      <w:pPr>
        <w:pStyle w:val="Default"/>
        <w:rPr>
          <w:b/>
          <w:szCs w:val="23"/>
          <w:lang w:val="en-US"/>
        </w:rPr>
      </w:pPr>
    </w:p>
    <w:p w:rsidR="00060EDD" w:rsidRPr="00060EDD" w:rsidRDefault="00060EDD" w:rsidP="00060EDD">
      <w:pPr>
        <w:pStyle w:val="Default"/>
        <w:rPr>
          <w:b/>
          <w:szCs w:val="23"/>
          <w:lang w:val="en-US"/>
        </w:rPr>
      </w:pPr>
    </w:p>
    <w:p w:rsidR="00060EDD" w:rsidRPr="00060EDD" w:rsidRDefault="00060EDD" w:rsidP="00060EDD">
      <w:pPr>
        <w:jc w:val="both"/>
        <w:rPr>
          <w:rFonts w:ascii="Arial" w:hAnsi="Arial" w:cs="Arial"/>
          <w:sz w:val="24"/>
          <w:szCs w:val="23"/>
          <w:lang w:val="en-US"/>
        </w:rPr>
      </w:pPr>
      <w:r w:rsidRPr="00060EDD">
        <w:rPr>
          <w:rFonts w:ascii="Arial" w:hAnsi="Arial" w:cs="Arial"/>
          <w:sz w:val="24"/>
          <w:szCs w:val="23"/>
          <w:lang w:val="en-US"/>
        </w:rPr>
        <w:t>Age-related macular degeneration (AMD) is the most common blinding disease in western societies. As the global population ages the prevalence of AMD is expected to increase.</w:t>
      </w:r>
    </w:p>
    <w:p w:rsidR="00060EDD" w:rsidRPr="00060EDD" w:rsidRDefault="00060EDD" w:rsidP="00060EDD">
      <w:pPr>
        <w:jc w:val="both"/>
        <w:rPr>
          <w:rFonts w:ascii="Arial" w:hAnsi="Arial" w:cs="Arial"/>
          <w:sz w:val="24"/>
          <w:szCs w:val="23"/>
          <w:lang w:val="en-US"/>
        </w:rPr>
      </w:pPr>
      <w:r w:rsidRPr="00060EDD">
        <w:rPr>
          <w:rFonts w:ascii="Arial" w:hAnsi="Arial" w:cs="Arial"/>
          <w:sz w:val="24"/>
          <w:szCs w:val="23"/>
          <w:lang w:val="en-US"/>
        </w:rPr>
        <w:t xml:space="preserve">AMD is a retinal disease that affects the central retina. Early state of the disease is characterized by the presence of </w:t>
      </w:r>
      <w:proofErr w:type="spellStart"/>
      <w:r w:rsidRPr="00060EDD">
        <w:rPr>
          <w:rFonts w:ascii="Arial" w:hAnsi="Arial" w:cs="Arial"/>
          <w:sz w:val="24"/>
          <w:szCs w:val="23"/>
          <w:lang w:val="en-US"/>
        </w:rPr>
        <w:t>drusen</w:t>
      </w:r>
      <w:proofErr w:type="spellEnd"/>
      <w:r w:rsidRPr="00060EDD">
        <w:rPr>
          <w:rFonts w:ascii="Arial" w:hAnsi="Arial" w:cs="Arial"/>
          <w:sz w:val="24"/>
          <w:szCs w:val="23"/>
          <w:lang w:val="en-US"/>
        </w:rPr>
        <w:t xml:space="preserve"> greater than 125 µm and/or focal hypo- or hyper- pigmentation. Advanced states of the disease can be classified as </w:t>
      </w:r>
      <w:proofErr w:type="spellStart"/>
      <w:r w:rsidRPr="00060EDD">
        <w:rPr>
          <w:rFonts w:ascii="Arial" w:hAnsi="Arial" w:cs="Arial"/>
          <w:sz w:val="24"/>
          <w:szCs w:val="23"/>
          <w:lang w:val="en-US"/>
        </w:rPr>
        <w:t>choroidal</w:t>
      </w:r>
      <w:proofErr w:type="spellEnd"/>
      <w:r w:rsidRPr="00060EDD">
        <w:rPr>
          <w:rFonts w:ascii="Arial" w:hAnsi="Arial" w:cs="Arial"/>
          <w:sz w:val="24"/>
          <w:szCs w:val="23"/>
          <w:lang w:val="en-US"/>
        </w:rPr>
        <w:t xml:space="preserve"> neovascularization (CNV; </w:t>
      </w:r>
      <w:proofErr w:type="spellStart"/>
      <w:r w:rsidRPr="00060EDD">
        <w:rPr>
          <w:rFonts w:ascii="Arial" w:hAnsi="Arial" w:cs="Arial"/>
          <w:sz w:val="24"/>
          <w:szCs w:val="23"/>
          <w:lang w:val="en-US"/>
        </w:rPr>
        <w:t>neovascular</w:t>
      </w:r>
      <w:proofErr w:type="spellEnd"/>
      <w:r w:rsidRPr="00060EDD">
        <w:rPr>
          <w:rFonts w:ascii="Arial" w:hAnsi="Arial" w:cs="Arial"/>
          <w:sz w:val="24"/>
          <w:szCs w:val="23"/>
          <w:lang w:val="en-US"/>
        </w:rPr>
        <w:t xml:space="preserve"> AMD) or geographic atrophy (GA; late dry AMD). Detection and appropriate care at an early stage may help to prevent progression to advanced stage AMD and additional vision loss.</w:t>
      </w:r>
    </w:p>
    <w:p w:rsidR="00060EDD" w:rsidRPr="00060EDD" w:rsidRDefault="00060EDD" w:rsidP="00060EDD">
      <w:pPr>
        <w:jc w:val="both"/>
        <w:rPr>
          <w:rFonts w:ascii="Arial" w:hAnsi="Arial" w:cs="Arial"/>
          <w:sz w:val="24"/>
          <w:szCs w:val="23"/>
          <w:lang w:val="en-US"/>
        </w:rPr>
      </w:pPr>
      <w:r w:rsidRPr="00060EDD">
        <w:rPr>
          <w:rFonts w:ascii="Arial" w:hAnsi="Arial" w:cs="Arial"/>
          <w:sz w:val="24"/>
          <w:szCs w:val="23"/>
          <w:lang w:val="en-US"/>
        </w:rPr>
        <w:t>AMD is multifactorial and has a strong genetic component. Its heritability is estimated to be about 70%. There are two major genetic loci that contribute to AMD susceptibility: Complement Factor H (CFH) gene and ARMS2 (Scholl et al. 2007). The AMD Gene Consortium, which consolidates 15 international Genome Wide Association Studies (GWAS) representing more than 16,900 patients, has identified 19 genomic loci associated with AMD, including 7 new loci. The Consortium could identify 5 distinct biological pathways of disease mechanism.</w:t>
      </w:r>
      <w:r>
        <w:rPr>
          <w:rFonts w:ascii="Arial" w:hAnsi="Arial" w:cs="Arial"/>
          <w:sz w:val="24"/>
          <w:szCs w:val="23"/>
          <w:lang w:val="en-US"/>
        </w:rPr>
        <w:t xml:space="preserve"> </w:t>
      </w:r>
      <w:r w:rsidRPr="00060EDD">
        <w:rPr>
          <w:rFonts w:ascii="Arial" w:hAnsi="Arial" w:cs="Arial"/>
          <w:sz w:val="24"/>
          <w:szCs w:val="23"/>
          <w:lang w:val="en-US"/>
        </w:rPr>
        <w:t xml:space="preserve">It is now widely accepted that the innate immune (complement) system plays a major role in AMD susceptibility (see review by </w:t>
      </w:r>
      <w:proofErr w:type="spellStart"/>
      <w:r w:rsidRPr="00060EDD">
        <w:rPr>
          <w:rFonts w:ascii="Arial" w:hAnsi="Arial" w:cs="Arial"/>
          <w:sz w:val="24"/>
          <w:szCs w:val="23"/>
          <w:lang w:val="en-US"/>
        </w:rPr>
        <w:t>Charbel</w:t>
      </w:r>
      <w:proofErr w:type="spellEnd"/>
      <w:r w:rsidRPr="00060EDD">
        <w:rPr>
          <w:rFonts w:ascii="Arial" w:hAnsi="Arial" w:cs="Arial"/>
          <w:sz w:val="24"/>
          <w:szCs w:val="23"/>
          <w:lang w:val="en-US"/>
        </w:rPr>
        <w:t xml:space="preserve"> </w:t>
      </w:r>
      <w:proofErr w:type="spellStart"/>
      <w:r w:rsidRPr="00060EDD">
        <w:rPr>
          <w:rFonts w:ascii="Arial" w:hAnsi="Arial" w:cs="Arial"/>
          <w:sz w:val="24"/>
          <w:szCs w:val="23"/>
          <w:lang w:val="en-US"/>
        </w:rPr>
        <w:t>Issa</w:t>
      </w:r>
      <w:proofErr w:type="spellEnd"/>
      <w:r w:rsidRPr="00060EDD">
        <w:rPr>
          <w:rFonts w:ascii="Arial" w:hAnsi="Arial" w:cs="Arial"/>
          <w:sz w:val="24"/>
          <w:szCs w:val="23"/>
          <w:lang w:val="en-US"/>
        </w:rPr>
        <w:t xml:space="preserve"> et al. 2011). Very recently, it was shown that the CFH polymorphism H402, which is strongly associated with AMD, markedly reduces the ability of CFH to bind </w:t>
      </w:r>
      <w:proofErr w:type="spellStart"/>
      <w:r w:rsidRPr="00060EDD">
        <w:rPr>
          <w:rFonts w:ascii="Arial" w:hAnsi="Arial" w:cs="Arial"/>
          <w:sz w:val="24"/>
          <w:szCs w:val="23"/>
          <w:lang w:val="en-US"/>
        </w:rPr>
        <w:t>malondialdehyde</w:t>
      </w:r>
      <w:proofErr w:type="spellEnd"/>
      <w:r w:rsidRPr="00060EDD">
        <w:rPr>
          <w:rFonts w:ascii="Arial" w:hAnsi="Arial" w:cs="Arial"/>
          <w:sz w:val="24"/>
          <w:szCs w:val="23"/>
          <w:lang w:val="en-US"/>
        </w:rPr>
        <w:t xml:space="preserve"> which is a common lipid peroxidation product. Thus there appears to be a strong link between genetics, inflammation and oxidative stress in AMD (</w:t>
      </w:r>
      <w:proofErr w:type="spellStart"/>
      <w:r w:rsidRPr="00060EDD">
        <w:rPr>
          <w:rFonts w:ascii="Arial" w:hAnsi="Arial" w:cs="Arial"/>
          <w:sz w:val="24"/>
          <w:szCs w:val="23"/>
          <w:lang w:val="en-US"/>
        </w:rPr>
        <w:t>Weissmann</w:t>
      </w:r>
      <w:proofErr w:type="spellEnd"/>
      <w:r w:rsidRPr="00060EDD">
        <w:rPr>
          <w:rFonts w:ascii="Arial" w:hAnsi="Arial" w:cs="Arial"/>
          <w:sz w:val="24"/>
          <w:szCs w:val="23"/>
          <w:lang w:val="en-US"/>
        </w:rPr>
        <w:t xml:space="preserve"> et al. 2011).</w:t>
      </w:r>
      <w:r>
        <w:rPr>
          <w:rFonts w:ascii="Arial" w:hAnsi="Arial" w:cs="Arial"/>
          <w:sz w:val="24"/>
          <w:szCs w:val="23"/>
          <w:lang w:val="en-US"/>
        </w:rPr>
        <w:t xml:space="preserve"> </w:t>
      </w:r>
      <w:r w:rsidRPr="00060EDD">
        <w:rPr>
          <w:rFonts w:ascii="Arial" w:hAnsi="Arial" w:cs="Arial"/>
          <w:sz w:val="24"/>
          <w:szCs w:val="23"/>
          <w:lang w:val="en-US"/>
        </w:rPr>
        <w:t>Currently, clinical guidelines indicate that the management of AMD is dictated by disease stage. However, many of the treatment options have been shown to assist only a subset of patients. While these therapies are largely effective in halting visual loss, some need repeated dosing, invasive for the patients and expensive for the health care s</w:t>
      </w:r>
      <w:r>
        <w:rPr>
          <w:rFonts w:ascii="Arial" w:hAnsi="Arial" w:cs="Arial"/>
          <w:sz w:val="24"/>
          <w:szCs w:val="23"/>
          <w:lang w:val="en-US"/>
        </w:rPr>
        <w:t xml:space="preserve">ystem or for the beneficiaries. </w:t>
      </w:r>
      <w:r w:rsidRPr="00060EDD">
        <w:rPr>
          <w:rFonts w:ascii="Arial" w:hAnsi="Arial" w:cs="Arial"/>
          <w:sz w:val="24"/>
          <w:szCs w:val="23"/>
          <w:lang w:val="en-US"/>
        </w:rPr>
        <w:t xml:space="preserve">Patients should report symptoms promptly. Those with intermediate and early AMD should be informed of the symptoms of </w:t>
      </w:r>
      <w:proofErr w:type="spellStart"/>
      <w:r w:rsidRPr="00060EDD">
        <w:rPr>
          <w:rFonts w:ascii="Arial" w:hAnsi="Arial" w:cs="Arial"/>
          <w:sz w:val="24"/>
          <w:szCs w:val="23"/>
          <w:lang w:val="en-US"/>
        </w:rPr>
        <w:t>neovascular</w:t>
      </w:r>
      <w:proofErr w:type="spellEnd"/>
      <w:r w:rsidRPr="00060EDD">
        <w:rPr>
          <w:rFonts w:ascii="Arial" w:hAnsi="Arial" w:cs="Arial"/>
          <w:sz w:val="24"/>
          <w:szCs w:val="23"/>
          <w:lang w:val="en-US"/>
        </w:rPr>
        <w:t xml:space="preserve"> AMD, as well as the need to report these symptoms promptly. Additionally, complications (including those from therapy), such </w:t>
      </w:r>
      <w:proofErr w:type="spellStart"/>
      <w:r w:rsidRPr="00060EDD">
        <w:rPr>
          <w:rFonts w:ascii="Arial" w:hAnsi="Arial" w:cs="Arial"/>
          <w:sz w:val="24"/>
          <w:szCs w:val="23"/>
          <w:lang w:val="en-US"/>
        </w:rPr>
        <w:t>endophthalmitis</w:t>
      </w:r>
      <w:proofErr w:type="spellEnd"/>
      <w:r w:rsidRPr="00060EDD">
        <w:rPr>
          <w:rFonts w:ascii="Arial" w:hAnsi="Arial" w:cs="Arial"/>
          <w:sz w:val="24"/>
          <w:szCs w:val="23"/>
          <w:lang w:val="en-US"/>
        </w:rPr>
        <w:t>, eye pain, eye redness, blurred or decreased vision, sensitivity to light, or floaters should also be reported to their physician.</w:t>
      </w:r>
    </w:p>
    <w:p w:rsidR="00060EDD" w:rsidRPr="00060EDD" w:rsidRDefault="00060EDD" w:rsidP="00060EDD">
      <w:pPr>
        <w:jc w:val="both"/>
        <w:rPr>
          <w:rFonts w:ascii="Arial" w:hAnsi="Arial" w:cs="Arial"/>
          <w:sz w:val="24"/>
          <w:szCs w:val="23"/>
          <w:lang w:val="en-US"/>
        </w:rPr>
      </w:pPr>
      <w:r w:rsidRPr="00060EDD">
        <w:rPr>
          <w:rFonts w:ascii="Arial" w:hAnsi="Arial" w:cs="Arial"/>
          <w:sz w:val="24"/>
          <w:szCs w:val="23"/>
          <w:lang w:val="en-US"/>
        </w:rPr>
        <w:t>Patients should be encouraged to stop smoking. Smoking has consistently been shown to increase the risk of AMD and progression of AMD.</w:t>
      </w:r>
      <w:r>
        <w:rPr>
          <w:rFonts w:ascii="Arial" w:hAnsi="Arial" w:cs="Arial"/>
          <w:sz w:val="24"/>
          <w:szCs w:val="23"/>
          <w:lang w:val="en-US"/>
        </w:rPr>
        <w:t xml:space="preserve"> </w:t>
      </w:r>
      <w:r w:rsidRPr="00060EDD">
        <w:rPr>
          <w:rFonts w:ascii="Arial" w:hAnsi="Arial" w:cs="Arial"/>
          <w:sz w:val="24"/>
          <w:szCs w:val="23"/>
          <w:lang w:val="en-US"/>
        </w:rPr>
        <w:t xml:space="preserve">Patients with active </w:t>
      </w:r>
      <w:proofErr w:type="spellStart"/>
      <w:r w:rsidRPr="00060EDD">
        <w:rPr>
          <w:rFonts w:ascii="Arial" w:hAnsi="Arial" w:cs="Arial"/>
          <w:sz w:val="24"/>
          <w:szCs w:val="23"/>
          <w:lang w:val="en-US"/>
        </w:rPr>
        <w:t>neovascular</w:t>
      </w:r>
      <w:proofErr w:type="spellEnd"/>
      <w:r w:rsidRPr="00060EDD">
        <w:rPr>
          <w:rFonts w:ascii="Arial" w:hAnsi="Arial" w:cs="Arial"/>
          <w:sz w:val="24"/>
          <w:szCs w:val="23"/>
          <w:lang w:val="en-US"/>
        </w:rPr>
        <w:t xml:space="preserve"> AMD can reduce disease progression and halt visual function loss through proven effective treatments containing compounds blocking the vascular endothelial growth factor (VEGF).</w:t>
      </w:r>
    </w:p>
    <w:p w:rsidR="00060EDD" w:rsidRPr="00060EDD" w:rsidRDefault="00060EDD" w:rsidP="00060EDD">
      <w:pPr>
        <w:jc w:val="both"/>
        <w:rPr>
          <w:rFonts w:ascii="Arial" w:hAnsi="Arial" w:cs="Arial"/>
          <w:b/>
          <w:sz w:val="24"/>
          <w:szCs w:val="23"/>
          <w:lang w:val="en-US"/>
        </w:rPr>
      </w:pPr>
      <w:r w:rsidRPr="00060EDD">
        <w:rPr>
          <w:rFonts w:ascii="Arial" w:hAnsi="Arial" w:cs="Arial"/>
          <w:b/>
          <w:sz w:val="24"/>
          <w:szCs w:val="23"/>
          <w:lang w:val="en-US"/>
        </w:rPr>
        <w:t>References:</w:t>
      </w:r>
    </w:p>
    <w:p w:rsidR="00060EDD" w:rsidRPr="00060EDD" w:rsidRDefault="00060EDD" w:rsidP="00060EDD">
      <w:pPr>
        <w:jc w:val="both"/>
        <w:rPr>
          <w:rFonts w:ascii="Arial" w:hAnsi="Arial" w:cs="Arial"/>
          <w:sz w:val="24"/>
          <w:szCs w:val="23"/>
          <w:lang w:val="en-US"/>
        </w:rPr>
      </w:pPr>
      <w:r w:rsidRPr="00060EDD">
        <w:rPr>
          <w:rFonts w:ascii="Arial" w:hAnsi="Arial" w:cs="Arial"/>
          <w:sz w:val="24"/>
          <w:szCs w:val="23"/>
          <w:lang w:val="en-US"/>
        </w:rPr>
        <w:t xml:space="preserve">1. </w:t>
      </w:r>
      <w:proofErr w:type="spellStart"/>
      <w:r w:rsidRPr="00060EDD">
        <w:rPr>
          <w:rFonts w:ascii="Arial" w:hAnsi="Arial" w:cs="Arial"/>
          <w:sz w:val="24"/>
          <w:szCs w:val="23"/>
          <w:lang w:val="en-US"/>
        </w:rPr>
        <w:t>Charbel</w:t>
      </w:r>
      <w:proofErr w:type="spellEnd"/>
      <w:r w:rsidRPr="00060EDD">
        <w:rPr>
          <w:rFonts w:ascii="Arial" w:hAnsi="Arial" w:cs="Arial"/>
          <w:sz w:val="24"/>
          <w:szCs w:val="23"/>
          <w:lang w:val="en-US"/>
        </w:rPr>
        <w:t xml:space="preserve"> </w:t>
      </w:r>
      <w:proofErr w:type="spellStart"/>
      <w:r w:rsidRPr="00060EDD">
        <w:rPr>
          <w:rFonts w:ascii="Arial" w:hAnsi="Arial" w:cs="Arial"/>
          <w:sz w:val="24"/>
          <w:szCs w:val="23"/>
          <w:lang w:val="en-US"/>
        </w:rPr>
        <w:t>Issa</w:t>
      </w:r>
      <w:proofErr w:type="spellEnd"/>
      <w:r w:rsidRPr="00060EDD">
        <w:rPr>
          <w:rFonts w:ascii="Arial" w:hAnsi="Arial" w:cs="Arial"/>
          <w:sz w:val="24"/>
          <w:szCs w:val="23"/>
          <w:lang w:val="en-US"/>
        </w:rPr>
        <w:t xml:space="preserve"> P, Chong NV, Scholl HPN (2011) </w:t>
      </w:r>
      <w:proofErr w:type="gramStart"/>
      <w:r w:rsidRPr="00060EDD">
        <w:rPr>
          <w:rFonts w:ascii="Arial" w:hAnsi="Arial" w:cs="Arial"/>
          <w:sz w:val="24"/>
          <w:szCs w:val="23"/>
          <w:lang w:val="en-US"/>
        </w:rPr>
        <w:t>The</w:t>
      </w:r>
      <w:proofErr w:type="gramEnd"/>
      <w:r w:rsidRPr="00060EDD">
        <w:rPr>
          <w:rFonts w:ascii="Arial" w:hAnsi="Arial" w:cs="Arial"/>
          <w:sz w:val="24"/>
          <w:szCs w:val="23"/>
          <w:lang w:val="en-US"/>
        </w:rPr>
        <w:t xml:space="preserve"> significance of the complement system for the pathogenesis of age-related macular degeneration - current evidence and translation into clinical application. </w:t>
      </w:r>
      <w:proofErr w:type="spellStart"/>
      <w:proofErr w:type="gramStart"/>
      <w:r w:rsidRPr="00060EDD">
        <w:rPr>
          <w:rFonts w:ascii="Arial" w:hAnsi="Arial" w:cs="Arial"/>
          <w:sz w:val="24"/>
          <w:szCs w:val="23"/>
          <w:lang w:val="en-US"/>
        </w:rPr>
        <w:t>Graefes</w:t>
      </w:r>
      <w:proofErr w:type="spellEnd"/>
      <w:r w:rsidRPr="00060EDD">
        <w:rPr>
          <w:rFonts w:ascii="Arial" w:hAnsi="Arial" w:cs="Arial"/>
          <w:sz w:val="24"/>
          <w:szCs w:val="23"/>
          <w:lang w:val="en-US"/>
        </w:rPr>
        <w:t xml:space="preserve"> Arch </w:t>
      </w:r>
      <w:proofErr w:type="spellStart"/>
      <w:r w:rsidRPr="00060EDD">
        <w:rPr>
          <w:rFonts w:ascii="Arial" w:hAnsi="Arial" w:cs="Arial"/>
          <w:sz w:val="24"/>
          <w:szCs w:val="23"/>
          <w:lang w:val="en-US"/>
        </w:rPr>
        <w:t>Clin</w:t>
      </w:r>
      <w:proofErr w:type="spellEnd"/>
      <w:r w:rsidRPr="00060EDD">
        <w:rPr>
          <w:rFonts w:ascii="Arial" w:hAnsi="Arial" w:cs="Arial"/>
          <w:sz w:val="24"/>
          <w:szCs w:val="23"/>
          <w:lang w:val="en-US"/>
        </w:rPr>
        <w:t xml:space="preserve"> </w:t>
      </w:r>
      <w:proofErr w:type="spellStart"/>
      <w:r w:rsidRPr="00060EDD">
        <w:rPr>
          <w:rFonts w:ascii="Arial" w:hAnsi="Arial" w:cs="Arial"/>
          <w:sz w:val="24"/>
          <w:szCs w:val="23"/>
          <w:lang w:val="en-US"/>
        </w:rPr>
        <w:t>Exp</w:t>
      </w:r>
      <w:proofErr w:type="spellEnd"/>
      <w:r w:rsidRPr="00060EDD">
        <w:rPr>
          <w:rFonts w:ascii="Arial" w:hAnsi="Arial" w:cs="Arial"/>
          <w:sz w:val="24"/>
          <w:szCs w:val="23"/>
          <w:lang w:val="en-US"/>
        </w:rPr>
        <w:t xml:space="preserve"> </w:t>
      </w:r>
      <w:proofErr w:type="spellStart"/>
      <w:r w:rsidRPr="00060EDD">
        <w:rPr>
          <w:rFonts w:ascii="Arial" w:hAnsi="Arial" w:cs="Arial"/>
          <w:sz w:val="24"/>
          <w:szCs w:val="23"/>
          <w:lang w:val="en-US"/>
        </w:rPr>
        <w:t>Ophthalmol</w:t>
      </w:r>
      <w:proofErr w:type="spellEnd"/>
      <w:r w:rsidRPr="00060EDD">
        <w:rPr>
          <w:rFonts w:ascii="Arial" w:hAnsi="Arial" w:cs="Arial"/>
          <w:sz w:val="24"/>
          <w:szCs w:val="23"/>
          <w:lang w:val="en-US"/>
        </w:rPr>
        <w:t>.</w:t>
      </w:r>
      <w:proofErr w:type="gramEnd"/>
      <w:r w:rsidRPr="00060EDD">
        <w:rPr>
          <w:rFonts w:ascii="Arial" w:hAnsi="Arial" w:cs="Arial"/>
          <w:sz w:val="24"/>
          <w:szCs w:val="23"/>
          <w:lang w:val="en-US"/>
        </w:rPr>
        <w:t xml:space="preserve"> 249: 163-74.</w:t>
      </w:r>
    </w:p>
    <w:p w:rsidR="00060EDD" w:rsidRDefault="00060EDD" w:rsidP="00060EDD">
      <w:pPr>
        <w:jc w:val="both"/>
        <w:rPr>
          <w:rFonts w:ascii="Arial" w:hAnsi="Arial" w:cs="Arial"/>
          <w:sz w:val="24"/>
          <w:szCs w:val="23"/>
          <w:lang w:val="en-US"/>
        </w:rPr>
      </w:pPr>
      <w:r w:rsidRPr="00060EDD">
        <w:rPr>
          <w:rFonts w:ascii="Arial" w:hAnsi="Arial" w:cs="Arial"/>
          <w:sz w:val="24"/>
          <w:szCs w:val="23"/>
          <w:lang w:val="en-US"/>
        </w:rPr>
        <w:t xml:space="preserve">2. Scholl HPN, Fleckenstein M, </w:t>
      </w:r>
      <w:proofErr w:type="spellStart"/>
      <w:r w:rsidRPr="00060EDD">
        <w:rPr>
          <w:rFonts w:ascii="Arial" w:hAnsi="Arial" w:cs="Arial"/>
          <w:sz w:val="24"/>
          <w:szCs w:val="23"/>
          <w:lang w:val="en-US"/>
        </w:rPr>
        <w:t>Charbel</w:t>
      </w:r>
      <w:proofErr w:type="spellEnd"/>
      <w:r w:rsidRPr="00060EDD">
        <w:rPr>
          <w:rFonts w:ascii="Arial" w:hAnsi="Arial" w:cs="Arial"/>
          <w:sz w:val="24"/>
          <w:szCs w:val="23"/>
          <w:lang w:val="en-US"/>
        </w:rPr>
        <w:t xml:space="preserve"> </w:t>
      </w:r>
      <w:proofErr w:type="spellStart"/>
      <w:r w:rsidRPr="00060EDD">
        <w:rPr>
          <w:rFonts w:ascii="Arial" w:hAnsi="Arial" w:cs="Arial"/>
          <w:sz w:val="24"/>
          <w:szCs w:val="23"/>
          <w:lang w:val="en-US"/>
        </w:rPr>
        <w:t>Issa</w:t>
      </w:r>
      <w:proofErr w:type="spellEnd"/>
      <w:r w:rsidRPr="00060EDD">
        <w:rPr>
          <w:rFonts w:ascii="Arial" w:hAnsi="Arial" w:cs="Arial"/>
          <w:sz w:val="24"/>
          <w:szCs w:val="23"/>
          <w:lang w:val="en-US"/>
        </w:rPr>
        <w:t xml:space="preserve"> P, </w:t>
      </w:r>
      <w:proofErr w:type="spellStart"/>
      <w:r w:rsidRPr="00060EDD">
        <w:rPr>
          <w:rFonts w:ascii="Arial" w:hAnsi="Arial" w:cs="Arial"/>
          <w:sz w:val="24"/>
          <w:szCs w:val="23"/>
          <w:lang w:val="en-US"/>
        </w:rPr>
        <w:t>Keilhauer</w:t>
      </w:r>
      <w:proofErr w:type="spellEnd"/>
      <w:r w:rsidRPr="00060EDD">
        <w:rPr>
          <w:rFonts w:ascii="Arial" w:hAnsi="Arial" w:cs="Arial"/>
          <w:sz w:val="24"/>
          <w:szCs w:val="23"/>
          <w:lang w:val="en-US"/>
        </w:rPr>
        <w:t xml:space="preserve"> C, </w:t>
      </w:r>
      <w:proofErr w:type="spellStart"/>
      <w:r w:rsidRPr="00060EDD">
        <w:rPr>
          <w:rFonts w:ascii="Arial" w:hAnsi="Arial" w:cs="Arial"/>
          <w:sz w:val="24"/>
          <w:szCs w:val="23"/>
          <w:lang w:val="en-US"/>
        </w:rPr>
        <w:t>Holz</w:t>
      </w:r>
      <w:proofErr w:type="spellEnd"/>
      <w:r w:rsidRPr="00060EDD">
        <w:rPr>
          <w:rFonts w:ascii="Arial" w:hAnsi="Arial" w:cs="Arial"/>
          <w:sz w:val="24"/>
          <w:szCs w:val="23"/>
          <w:lang w:val="en-US"/>
        </w:rPr>
        <w:t xml:space="preserve"> FG, Weber BHF (2007) An update on the genetics of age-related macular degeneration. </w:t>
      </w:r>
      <w:proofErr w:type="spellStart"/>
      <w:r w:rsidRPr="00060EDD">
        <w:rPr>
          <w:rFonts w:ascii="Arial" w:hAnsi="Arial" w:cs="Arial"/>
          <w:sz w:val="24"/>
          <w:szCs w:val="23"/>
          <w:lang w:val="en-US"/>
        </w:rPr>
        <w:t>Mol</w:t>
      </w:r>
      <w:proofErr w:type="spellEnd"/>
      <w:r w:rsidRPr="00060EDD">
        <w:rPr>
          <w:rFonts w:ascii="Arial" w:hAnsi="Arial" w:cs="Arial"/>
          <w:sz w:val="24"/>
          <w:szCs w:val="23"/>
          <w:lang w:val="en-US"/>
        </w:rPr>
        <w:t xml:space="preserve"> Vis. 7</w:t>
      </w:r>
      <w:proofErr w:type="gramStart"/>
      <w:r w:rsidRPr="00060EDD">
        <w:rPr>
          <w:rFonts w:ascii="Arial" w:hAnsi="Arial" w:cs="Arial"/>
          <w:sz w:val="24"/>
          <w:szCs w:val="23"/>
          <w:lang w:val="en-US"/>
        </w:rPr>
        <w:t>;13</w:t>
      </w:r>
      <w:proofErr w:type="gramEnd"/>
      <w:r w:rsidRPr="00060EDD">
        <w:rPr>
          <w:rFonts w:ascii="Arial" w:hAnsi="Arial" w:cs="Arial"/>
          <w:sz w:val="24"/>
          <w:szCs w:val="23"/>
          <w:lang w:val="en-US"/>
        </w:rPr>
        <w:t>: 196-</w:t>
      </w:r>
      <w:r>
        <w:rPr>
          <w:rFonts w:ascii="Arial" w:hAnsi="Arial" w:cs="Arial"/>
          <w:sz w:val="24"/>
          <w:szCs w:val="23"/>
          <w:lang w:val="en-US"/>
        </w:rPr>
        <w:t>205.</w:t>
      </w:r>
    </w:p>
    <w:p w:rsidR="00526012" w:rsidRPr="00060EDD" w:rsidRDefault="00060EDD" w:rsidP="00060EDD">
      <w:pPr>
        <w:jc w:val="both"/>
        <w:rPr>
          <w:lang w:val="en-US"/>
        </w:rPr>
      </w:pPr>
      <w:r w:rsidRPr="00060EDD">
        <w:rPr>
          <w:rFonts w:ascii="Arial" w:hAnsi="Arial" w:cs="Arial"/>
          <w:sz w:val="24"/>
          <w:szCs w:val="23"/>
          <w:lang w:val="en-US"/>
        </w:rPr>
        <w:t xml:space="preserve">3. Weismann D, </w:t>
      </w:r>
      <w:proofErr w:type="spellStart"/>
      <w:r w:rsidRPr="00060EDD">
        <w:rPr>
          <w:rFonts w:ascii="Arial" w:hAnsi="Arial" w:cs="Arial"/>
          <w:sz w:val="24"/>
          <w:szCs w:val="23"/>
          <w:lang w:val="en-US"/>
        </w:rPr>
        <w:t>Hartvigsen</w:t>
      </w:r>
      <w:proofErr w:type="spellEnd"/>
      <w:r w:rsidRPr="00060EDD">
        <w:rPr>
          <w:rFonts w:ascii="Arial" w:hAnsi="Arial" w:cs="Arial"/>
          <w:sz w:val="24"/>
          <w:szCs w:val="23"/>
          <w:lang w:val="en-US"/>
        </w:rPr>
        <w:t xml:space="preserve"> K, Lauer N, Bennett KL, Scholl HPN, </w:t>
      </w:r>
      <w:proofErr w:type="spellStart"/>
      <w:r w:rsidRPr="00060EDD">
        <w:rPr>
          <w:rFonts w:ascii="Arial" w:hAnsi="Arial" w:cs="Arial"/>
          <w:sz w:val="24"/>
          <w:szCs w:val="23"/>
          <w:lang w:val="en-US"/>
        </w:rPr>
        <w:t>Charbel</w:t>
      </w:r>
      <w:proofErr w:type="spellEnd"/>
      <w:r w:rsidRPr="00060EDD">
        <w:rPr>
          <w:rFonts w:ascii="Arial" w:hAnsi="Arial" w:cs="Arial"/>
          <w:sz w:val="24"/>
          <w:szCs w:val="23"/>
          <w:lang w:val="en-US"/>
        </w:rPr>
        <w:t xml:space="preserve"> </w:t>
      </w:r>
      <w:proofErr w:type="spellStart"/>
      <w:r w:rsidRPr="00060EDD">
        <w:rPr>
          <w:rFonts w:ascii="Arial" w:hAnsi="Arial" w:cs="Arial"/>
          <w:sz w:val="24"/>
          <w:szCs w:val="23"/>
          <w:lang w:val="en-US"/>
        </w:rPr>
        <w:t>Issa</w:t>
      </w:r>
      <w:proofErr w:type="spellEnd"/>
      <w:r w:rsidRPr="00060EDD">
        <w:rPr>
          <w:rFonts w:ascii="Arial" w:hAnsi="Arial" w:cs="Arial"/>
          <w:sz w:val="24"/>
          <w:szCs w:val="23"/>
          <w:lang w:val="en-US"/>
        </w:rPr>
        <w:t xml:space="preserve"> P, Cano M, </w:t>
      </w:r>
      <w:proofErr w:type="spellStart"/>
      <w:r w:rsidRPr="00060EDD">
        <w:rPr>
          <w:rFonts w:ascii="Arial" w:hAnsi="Arial" w:cs="Arial"/>
          <w:sz w:val="24"/>
          <w:szCs w:val="23"/>
          <w:lang w:val="en-US"/>
        </w:rPr>
        <w:t>Brandstätter</w:t>
      </w:r>
      <w:proofErr w:type="spellEnd"/>
      <w:r w:rsidRPr="00060EDD">
        <w:rPr>
          <w:rFonts w:ascii="Arial" w:hAnsi="Arial" w:cs="Arial"/>
          <w:sz w:val="24"/>
          <w:szCs w:val="23"/>
          <w:lang w:val="en-US"/>
        </w:rPr>
        <w:t xml:space="preserve"> H, </w:t>
      </w:r>
      <w:proofErr w:type="spellStart"/>
      <w:r w:rsidRPr="00060EDD">
        <w:rPr>
          <w:rFonts w:ascii="Arial" w:hAnsi="Arial" w:cs="Arial"/>
          <w:sz w:val="24"/>
          <w:szCs w:val="23"/>
          <w:lang w:val="en-US"/>
        </w:rPr>
        <w:t>Tsimikas</w:t>
      </w:r>
      <w:proofErr w:type="spellEnd"/>
      <w:r w:rsidRPr="00060EDD">
        <w:rPr>
          <w:rFonts w:ascii="Arial" w:hAnsi="Arial" w:cs="Arial"/>
          <w:sz w:val="24"/>
          <w:szCs w:val="23"/>
          <w:lang w:val="en-US"/>
        </w:rPr>
        <w:t xml:space="preserve"> S, </w:t>
      </w:r>
      <w:proofErr w:type="spellStart"/>
      <w:r w:rsidRPr="00060EDD">
        <w:rPr>
          <w:rFonts w:ascii="Arial" w:hAnsi="Arial" w:cs="Arial"/>
          <w:sz w:val="24"/>
          <w:szCs w:val="23"/>
          <w:lang w:val="en-US"/>
        </w:rPr>
        <w:t>Skerka</w:t>
      </w:r>
      <w:proofErr w:type="spellEnd"/>
      <w:r w:rsidRPr="00060EDD">
        <w:rPr>
          <w:rFonts w:ascii="Arial" w:hAnsi="Arial" w:cs="Arial"/>
          <w:sz w:val="24"/>
          <w:szCs w:val="23"/>
          <w:lang w:val="en-US"/>
        </w:rPr>
        <w:t xml:space="preserve"> C, </w:t>
      </w:r>
      <w:proofErr w:type="spellStart"/>
      <w:r w:rsidRPr="00060EDD">
        <w:rPr>
          <w:rFonts w:ascii="Arial" w:hAnsi="Arial" w:cs="Arial"/>
          <w:sz w:val="24"/>
          <w:szCs w:val="23"/>
          <w:lang w:val="en-US"/>
        </w:rPr>
        <w:t>Superti-Furga</w:t>
      </w:r>
      <w:proofErr w:type="spellEnd"/>
      <w:r w:rsidRPr="00060EDD">
        <w:rPr>
          <w:rFonts w:ascii="Arial" w:hAnsi="Arial" w:cs="Arial"/>
          <w:sz w:val="24"/>
          <w:szCs w:val="23"/>
          <w:lang w:val="en-US"/>
        </w:rPr>
        <w:t xml:space="preserve"> G, </w:t>
      </w:r>
      <w:proofErr w:type="spellStart"/>
      <w:r w:rsidRPr="00060EDD">
        <w:rPr>
          <w:rFonts w:ascii="Arial" w:hAnsi="Arial" w:cs="Arial"/>
          <w:sz w:val="24"/>
          <w:szCs w:val="23"/>
          <w:lang w:val="en-US"/>
        </w:rPr>
        <w:t>Handa</w:t>
      </w:r>
      <w:proofErr w:type="spellEnd"/>
      <w:r w:rsidRPr="00060EDD">
        <w:rPr>
          <w:rFonts w:ascii="Arial" w:hAnsi="Arial" w:cs="Arial"/>
          <w:sz w:val="24"/>
          <w:szCs w:val="23"/>
          <w:lang w:val="en-US"/>
        </w:rPr>
        <w:t xml:space="preserve"> JT, </w:t>
      </w:r>
      <w:proofErr w:type="spellStart"/>
      <w:r w:rsidRPr="00060EDD">
        <w:rPr>
          <w:rFonts w:ascii="Arial" w:hAnsi="Arial" w:cs="Arial"/>
          <w:sz w:val="24"/>
          <w:szCs w:val="23"/>
          <w:lang w:val="en-US"/>
        </w:rPr>
        <w:t>Zipfel</w:t>
      </w:r>
      <w:proofErr w:type="spellEnd"/>
      <w:r w:rsidRPr="00060EDD">
        <w:rPr>
          <w:rFonts w:ascii="Arial" w:hAnsi="Arial" w:cs="Arial"/>
          <w:sz w:val="24"/>
          <w:szCs w:val="23"/>
          <w:lang w:val="en-US"/>
        </w:rPr>
        <w:t xml:space="preserve"> PF, </w:t>
      </w:r>
      <w:proofErr w:type="spellStart"/>
      <w:r w:rsidRPr="00060EDD">
        <w:rPr>
          <w:rFonts w:ascii="Arial" w:hAnsi="Arial" w:cs="Arial"/>
          <w:sz w:val="24"/>
          <w:szCs w:val="23"/>
          <w:lang w:val="en-US"/>
        </w:rPr>
        <w:t>Witztum</w:t>
      </w:r>
      <w:proofErr w:type="spellEnd"/>
      <w:r w:rsidRPr="00060EDD">
        <w:rPr>
          <w:rFonts w:ascii="Arial" w:hAnsi="Arial" w:cs="Arial"/>
          <w:sz w:val="24"/>
          <w:szCs w:val="23"/>
          <w:lang w:val="en-US"/>
        </w:rPr>
        <w:t xml:space="preserve"> JL, </w:t>
      </w:r>
      <w:r>
        <w:rPr>
          <w:rFonts w:ascii="Arial" w:hAnsi="Arial" w:cs="Arial"/>
          <w:sz w:val="24"/>
          <w:szCs w:val="23"/>
          <w:lang w:val="en-US"/>
        </w:rPr>
        <w:t>B</w:t>
      </w:r>
      <w:r w:rsidRPr="00060EDD">
        <w:rPr>
          <w:rFonts w:ascii="Arial" w:hAnsi="Arial" w:cs="Arial"/>
          <w:sz w:val="24"/>
          <w:szCs w:val="23"/>
          <w:lang w:val="en-US"/>
        </w:rPr>
        <w:t xml:space="preserve">inder CJ (2011) Complement factor H binds </w:t>
      </w:r>
      <w:proofErr w:type="spellStart"/>
      <w:r w:rsidRPr="00060EDD">
        <w:rPr>
          <w:rFonts w:ascii="Arial" w:hAnsi="Arial" w:cs="Arial"/>
          <w:sz w:val="24"/>
          <w:szCs w:val="23"/>
          <w:lang w:val="en-US"/>
        </w:rPr>
        <w:t>malondialdehyde</w:t>
      </w:r>
      <w:proofErr w:type="spellEnd"/>
      <w:r w:rsidRPr="00060EDD">
        <w:rPr>
          <w:rFonts w:ascii="Arial" w:hAnsi="Arial" w:cs="Arial"/>
          <w:sz w:val="24"/>
          <w:szCs w:val="23"/>
          <w:lang w:val="en-US"/>
        </w:rPr>
        <w:t xml:space="preserve"> epitopes and protects from oxidative stress. Nature 478: 76-81.</w:t>
      </w:r>
      <w:bookmarkStart w:id="0" w:name="_GoBack"/>
      <w:bookmarkEnd w:id="0"/>
    </w:p>
    <w:sectPr w:rsidR="00526012" w:rsidRPr="00060EDD" w:rsidSect="00060EDD">
      <w:type w:val="continuous"/>
      <w:pgSz w:w="11907" w:h="16840" w:code="9"/>
      <w:pgMar w:top="1134" w:right="1134" w:bottom="23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EDD"/>
    <w:rsid w:val="00060EDD"/>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60ED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60EDD"/>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60ED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6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3159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2012-06-28T11:25:00Z</dcterms:created>
  <dcterms:modified xsi:type="dcterms:W3CDTF">2012-06-28T11:30:00Z</dcterms:modified>
</cp:coreProperties>
</file>